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3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3"/>
          <w:shd w:fill="auto" w:val="clear"/>
        </w:rPr>
        <w:t xml:space="preserve">別表【旅費及び諸手当支給基準】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3"/>
          <w:shd w:fill="auto" w:val="clear"/>
        </w:rPr>
      </w:pPr>
    </w:p>
    <w:tbl>
      <w:tblPr/>
      <w:tblGrid>
        <w:gridCol w:w="1450"/>
        <w:gridCol w:w="1352"/>
        <w:gridCol w:w="1559"/>
        <w:gridCol w:w="1984"/>
        <w:gridCol w:w="2268"/>
      </w:tblGrid>
      <w:tr>
        <w:trPr>
          <w:trHeight w:val="753" w:hRule="auto"/>
          <w:jc w:val="left"/>
        </w:trPr>
        <w:tc>
          <w:tcPr>
            <w:tcW w:w="14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40"/>
                <w:shd w:fill="auto" w:val="clear"/>
              </w:rPr>
              <w:t xml:space="preserve">区　　分</w:t>
            </w:r>
          </w:p>
        </w:tc>
        <w:tc>
          <w:tcPr>
            <w:tcW w:w="29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交通費</w:t>
            </w:r>
          </w:p>
        </w:tc>
        <w:tc>
          <w:tcPr>
            <w:tcW w:w="42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出張手当</w:t>
            </w:r>
          </w:p>
        </w:tc>
      </w:tr>
      <w:tr>
        <w:trPr>
          <w:trHeight w:val="1685" w:hRule="auto"/>
          <w:jc w:val="left"/>
        </w:trPr>
        <w:tc>
          <w:tcPr>
            <w:tcW w:w="14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鉄道費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船賃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県外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(一日当たり)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県内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(一日当たり)</w:t>
            </w:r>
          </w:p>
        </w:tc>
      </w:tr>
      <w:tr>
        <w:trPr>
          <w:trHeight w:val="1698" w:hRule="auto"/>
          <w:jc w:val="left"/>
        </w:trPr>
        <w:tc>
          <w:tcPr>
            <w:tcW w:w="14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普通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一等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１００００円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3"/>
                <w:shd w:fill="auto" w:val="clear"/>
              </w:rPr>
              <w:t xml:space="preserve">６０００円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